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CCCA6">
      <w:pPr>
        <w:spacing w:before="104" w:line="640" w:lineRule="exact"/>
        <w:ind w:right="105"/>
        <w:jc w:val="center"/>
        <w:rPr>
          <w:rFonts w:hint="eastAsia" w:ascii="方正小标宋简体" w:hAnsi="方正小标宋简体" w:eastAsia="方正小标宋简体" w:cs="方正小标宋简体"/>
          <w:spacing w:val="-9"/>
          <w:sz w:val="44"/>
          <w:szCs w:val="44"/>
          <w:lang w:val="en-US" w:eastAsia="zh-CN"/>
        </w:rPr>
      </w:pPr>
      <w:r>
        <w:rPr>
          <w:rFonts w:hint="eastAsia" w:ascii="方正小标宋简体" w:hAnsi="方正小标宋简体" w:eastAsia="方正小标宋简体" w:cs="方正小标宋简体"/>
          <w:spacing w:val="-9"/>
          <w:sz w:val="44"/>
          <w:szCs w:val="44"/>
          <w:lang w:val="en-US" w:eastAsia="zh-CN"/>
        </w:rPr>
        <w:t>新乡市</w:t>
      </w:r>
      <w:r>
        <w:rPr>
          <w:rFonts w:hint="eastAsia" w:ascii="方正小标宋简体" w:hAnsi="方正小标宋简体" w:eastAsia="方正小标宋简体" w:cs="方正小标宋简体"/>
          <w:spacing w:val="-9"/>
          <w:sz w:val="44"/>
          <w:szCs w:val="44"/>
          <w:lang w:eastAsia="zh-CN"/>
        </w:rPr>
        <w:t>存</w:t>
      </w:r>
      <w:bookmarkStart w:id="0" w:name="_GoBack"/>
      <w:bookmarkEnd w:id="0"/>
      <w:r>
        <w:rPr>
          <w:rFonts w:hint="eastAsia" w:ascii="方正小标宋简体" w:hAnsi="方正小标宋简体" w:eastAsia="方正小标宋简体" w:cs="方正小标宋简体"/>
          <w:spacing w:val="-9"/>
          <w:sz w:val="44"/>
          <w:szCs w:val="44"/>
          <w:lang w:eastAsia="zh-CN"/>
        </w:rPr>
        <w:t>量建筑功能临时转换</w:t>
      </w:r>
      <w:r>
        <w:rPr>
          <w:rFonts w:hint="eastAsia" w:ascii="方正小标宋简体" w:hAnsi="方正小标宋简体" w:eastAsia="方正小标宋简体" w:cs="方正小标宋简体"/>
          <w:spacing w:val="-9"/>
          <w:sz w:val="44"/>
          <w:szCs w:val="44"/>
          <w:lang w:val="en-US" w:eastAsia="zh-CN"/>
        </w:rPr>
        <w:t>实施意见</w:t>
      </w:r>
    </w:p>
    <w:p w14:paraId="25F0ECB0">
      <w:pPr>
        <w:spacing w:before="104" w:line="640" w:lineRule="exact"/>
        <w:ind w:right="105"/>
        <w:jc w:val="center"/>
        <w:rPr>
          <w:rFonts w:ascii="方正小标宋简体" w:hAnsi="方正小标宋简体" w:eastAsia="方正小标宋简体" w:cs="方正小标宋简体"/>
          <w:spacing w:val="12"/>
          <w:sz w:val="44"/>
          <w:szCs w:val="44"/>
          <w:lang w:eastAsia="zh-CN"/>
        </w:rPr>
      </w:pPr>
      <w:r>
        <w:rPr>
          <w:rFonts w:hint="eastAsia" w:ascii="方正小标宋简体" w:hAnsi="方正小标宋简体" w:eastAsia="方正小标宋简体" w:cs="方正小标宋简体"/>
          <w:color w:val="auto"/>
          <w:spacing w:val="12"/>
          <w:sz w:val="44"/>
          <w:szCs w:val="44"/>
          <w:lang w:eastAsia="zh-CN"/>
        </w:rPr>
        <w:t>（</w:t>
      </w:r>
      <w:r>
        <w:rPr>
          <w:rFonts w:hint="eastAsia" w:ascii="方正小标宋简体" w:hAnsi="方正小标宋简体" w:eastAsia="方正小标宋简体" w:cs="方正小标宋简体"/>
          <w:spacing w:val="12"/>
          <w:sz w:val="44"/>
          <w:szCs w:val="44"/>
          <w:lang w:eastAsia="zh-CN"/>
        </w:rPr>
        <w:t>试行</w:t>
      </w:r>
      <w:r>
        <w:rPr>
          <w:rFonts w:hint="eastAsia" w:ascii="方正小标宋简体" w:hAnsi="方正小标宋简体" w:eastAsia="方正小标宋简体" w:cs="方正小标宋简体"/>
          <w:color w:val="auto"/>
          <w:spacing w:val="12"/>
          <w:sz w:val="44"/>
          <w:szCs w:val="44"/>
          <w:lang w:eastAsia="zh-CN"/>
        </w:rPr>
        <w:t>）</w:t>
      </w:r>
      <w:r>
        <w:rPr>
          <w:rFonts w:hint="eastAsia" w:ascii="方正小标宋简体" w:hAnsi="方正小标宋简体" w:eastAsia="方正小标宋简体" w:cs="方正小标宋简体"/>
          <w:spacing w:val="12"/>
          <w:sz w:val="44"/>
          <w:szCs w:val="44"/>
          <w:lang w:eastAsia="zh-CN"/>
        </w:rPr>
        <w:t>（征求意见稿）</w:t>
      </w:r>
    </w:p>
    <w:p w14:paraId="4B42FFF3">
      <w:pPr>
        <w:keepNext w:val="0"/>
        <w:keepLines w:val="0"/>
        <w:pageBreakBefore w:val="0"/>
        <w:wordWrap/>
        <w:overflowPunct/>
        <w:topLinePunct w:val="0"/>
        <w:autoSpaceDE w:val="0"/>
        <w:autoSpaceDN w:val="0"/>
        <w:bidi w:val="0"/>
        <w:adjustRightInd w:val="0"/>
        <w:snapToGrid w:val="0"/>
        <w:spacing w:line="560" w:lineRule="exact"/>
        <w:textAlignment w:val="baseline"/>
        <w:rPr>
          <w:lang w:eastAsia="zh-CN"/>
        </w:rPr>
      </w:pPr>
    </w:p>
    <w:p w14:paraId="47682365">
      <w:pPr>
        <w:keepNext w:val="0"/>
        <w:keepLines w:val="0"/>
        <w:pageBreakBefore w:val="0"/>
        <w:widowControl w:val="0"/>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rPr>
        <w:t>为加快盘活</w:t>
      </w:r>
      <w:r>
        <w:rPr>
          <w:rFonts w:hint="eastAsia" w:ascii="仿宋_GB2312" w:hAnsi="仿宋_GB2312" w:eastAsia="仿宋_GB2312" w:cs="仿宋_GB2312"/>
          <w:spacing w:val="3"/>
          <w:sz w:val="32"/>
          <w:szCs w:val="32"/>
          <w:lang w:val="en-US" w:eastAsia="zh-CN"/>
        </w:rPr>
        <w:t>存量</w:t>
      </w:r>
      <w:r>
        <w:rPr>
          <w:rFonts w:hint="eastAsia" w:ascii="仿宋_GB2312" w:hAnsi="仿宋_GB2312" w:eastAsia="仿宋_GB2312" w:cs="仿宋_GB2312"/>
          <w:spacing w:val="3"/>
          <w:sz w:val="32"/>
          <w:szCs w:val="32"/>
        </w:rPr>
        <w:t>建筑</w:t>
      </w:r>
      <w:r>
        <w:rPr>
          <w:rFonts w:hint="eastAsia" w:ascii="仿宋_GB2312" w:hAnsi="仿宋_GB2312" w:eastAsia="仿宋_GB2312" w:cs="仿宋_GB2312"/>
          <w:spacing w:val="3"/>
          <w:sz w:val="32"/>
          <w:szCs w:val="32"/>
          <w:lang w:eastAsia="zh-CN"/>
        </w:rPr>
        <w:t>资源</w:t>
      </w:r>
      <w:r>
        <w:rPr>
          <w:rFonts w:hint="eastAsia" w:ascii="仿宋_GB2312" w:hAnsi="仿宋_GB2312" w:eastAsia="仿宋_GB2312" w:cs="仿宋_GB2312"/>
          <w:spacing w:val="3"/>
          <w:sz w:val="32"/>
          <w:szCs w:val="32"/>
        </w:rPr>
        <w:t>，激发市场活力</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lang w:val="en-US" w:eastAsia="zh-CN"/>
        </w:rPr>
        <w:t>提升存量空间高效利用，</w:t>
      </w:r>
      <w:r>
        <w:rPr>
          <w:rFonts w:hint="eastAsia" w:ascii="仿宋_GB2312" w:hAnsi="仿宋_GB2312" w:eastAsia="仿宋_GB2312" w:cs="仿宋_GB2312"/>
          <w:spacing w:val="3"/>
          <w:sz w:val="32"/>
          <w:szCs w:val="32"/>
        </w:rPr>
        <w:t>推动城市高质量发展</w:t>
      </w:r>
      <w:r>
        <w:rPr>
          <w:rFonts w:hint="eastAsia" w:ascii="仿宋_GB2312" w:hAnsi="仿宋_GB2312" w:eastAsia="仿宋_GB2312" w:cs="仿宋_GB2312"/>
          <w:spacing w:val="3"/>
          <w:sz w:val="32"/>
          <w:szCs w:val="32"/>
          <w:lang w:eastAsia="zh-CN"/>
        </w:rPr>
        <w:t>，根据《自然资源部</w:t>
      </w:r>
      <w:r>
        <w:rPr>
          <w:rFonts w:ascii="仿宋_GB2312" w:hAnsi="仿宋_GB2312" w:eastAsia="仿宋_GB2312" w:cs="仿宋_GB2312"/>
          <w:color w:val="auto"/>
          <w:spacing w:val="3"/>
          <w:sz w:val="32"/>
          <w:szCs w:val="32"/>
          <w:lang w:eastAsia="zh-CN"/>
        </w:rPr>
        <w:t xml:space="preserve"> </w:t>
      </w:r>
      <w:r>
        <w:rPr>
          <w:rFonts w:hint="eastAsia" w:ascii="仿宋_GB2312" w:hAnsi="仿宋_GB2312" w:eastAsia="仿宋_GB2312" w:cs="仿宋_GB2312"/>
          <w:spacing w:val="3"/>
          <w:sz w:val="32"/>
          <w:szCs w:val="32"/>
          <w:lang w:eastAsia="zh-CN"/>
        </w:rPr>
        <w:t>住房城乡建设部关于进一步支持城市更新行动若干措施的通知》</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spacing w:val="3"/>
          <w:sz w:val="32"/>
          <w:szCs w:val="32"/>
          <w:lang w:eastAsia="zh-CN"/>
        </w:rPr>
        <w:t>自然资发〔2025〕226号</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spacing w:val="3"/>
          <w:sz w:val="32"/>
          <w:szCs w:val="32"/>
          <w:lang w:eastAsia="zh-CN"/>
        </w:rPr>
        <w:t>、《河南省自然资源厅 河南省财政厅 河南省住房和城乡建设厅关于规划用地全链条支持城市更新若干政策的通知》</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spacing w:val="3"/>
          <w:sz w:val="32"/>
          <w:szCs w:val="32"/>
          <w:lang w:eastAsia="zh-CN"/>
        </w:rPr>
        <w:t>豫自然资规〔2026〕4号</w:t>
      </w:r>
      <w:r>
        <w:rPr>
          <w:rFonts w:hint="eastAsia" w:ascii="仿宋_GB2312" w:hAnsi="仿宋_GB2312" w:eastAsia="仿宋_GB2312" w:cs="仿宋_GB2312"/>
          <w:color w:val="auto"/>
          <w:spacing w:val="3"/>
          <w:sz w:val="32"/>
          <w:szCs w:val="32"/>
          <w:lang w:eastAsia="zh-CN"/>
        </w:rPr>
        <w:t>）</w:t>
      </w:r>
      <w:r>
        <w:rPr>
          <w:rFonts w:hint="eastAsia" w:ascii="仿宋_GB2312" w:hAnsi="仿宋_GB2312" w:eastAsia="仿宋_GB2312" w:cs="仿宋_GB2312"/>
          <w:spacing w:val="3"/>
          <w:sz w:val="32"/>
          <w:szCs w:val="32"/>
          <w:lang w:eastAsia="zh-CN"/>
        </w:rPr>
        <w:t>等文件精神，结合我市实际，</w:t>
      </w:r>
      <w:r>
        <w:rPr>
          <w:rFonts w:hint="eastAsia" w:ascii="仿宋_GB2312" w:hAnsi="仿宋_GB2312" w:eastAsia="仿宋_GB2312" w:cs="仿宋_GB2312"/>
          <w:spacing w:val="3"/>
          <w:sz w:val="32"/>
          <w:szCs w:val="32"/>
          <w:lang w:val="en-US" w:eastAsia="zh-CN"/>
        </w:rPr>
        <w:t>制定本实施意见</w:t>
      </w:r>
      <w:r>
        <w:rPr>
          <w:rFonts w:hint="eastAsia" w:ascii="仿宋_GB2312" w:hAnsi="仿宋_GB2312" w:eastAsia="仿宋_GB2312" w:cs="仿宋_GB2312"/>
          <w:spacing w:val="3"/>
          <w:sz w:val="32"/>
          <w:szCs w:val="32"/>
          <w:lang w:eastAsia="zh-CN"/>
        </w:rPr>
        <w:t>。</w:t>
      </w:r>
    </w:p>
    <w:p w14:paraId="16F191DD">
      <w:pPr>
        <w:keepNext w:val="0"/>
        <w:keepLines w:val="0"/>
        <w:pageBreakBefore w:val="0"/>
        <w:widowControl w:val="0"/>
        <w:numPr>
          <w:ilvl w:val="0"/>
          <w:numId w:val="1"/>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总体要求</w:t>
      </w:r>
    </w:p>
    <w:p w14:paraId="7C1E3E06">
      <w:pPr>
        <w:keepNext w:val="0"/>
        <w:keepLines w:val="0"/>
        <w:pageBreakBefore w:val="0"/>
        <w:widowControl w:val="0"/>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存量建筑功能临时转换，是指在</w:t>
      </w:r>
      <w:r>
        <w:rPr>
          <w:rFonts w:hint="eastAsia" w:ascii="仿宋_GB2312" w:hAnsi="仿宋_GB2312" w:eastAsia="仿宋_GB2312" w:cs="仿宋_GB2312"/>
          <w:spacing w:val="3"/>
          <w:sz w:val="32"/>
          <w:szCs w:val="32"/>
          <w:lang w:val="en-US" w:eastAsia="zh-CN"/>
        </w:rPr>
        <w:t>本市中心城区城镇开发边界内</w:t>
      </w:r>
      <w:r>
        <w:rPr>
          <w:rFonts w:hint="eastAsia" w:ascii="仿宋_GB2312" w:hAnsi="仿宋_GB2312" w:eastAsia="仿宋_GB2312" w:cs="仿宋_GB2312"/>
          <w:spacing w:val="3"/>
          <w:sz w:val="32"/>
          <w:szCs w:val="32"/>
          <w:lang w:eastAsia="zh-CN"/>
        </w:rPr>
        <w:t>国有建设用地上、完成竣工验收或具有合法权源证明的既有存量建筑，在不增加建筑面积、建筑高度、建筑层数，不改变土地使用权主体、土地使用年限、法定规划指标及合法权属证载用途的前提下，按规定临时调整建筑全部或部分使用功能的行为。</w:t>
      </w:r>
    </w:p>
    <w:p w14:paraId="5D5B15F5">
      <w:pPr>
        <w:keepNext w:val="0"/>
        <w:keepLines w:val="0"/>
        <w:pageBreakBefore w:val="0"/>
        <w:widowControl w:val="0"/>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存量建筑功能临时转换，应符合以下条件：</w:t>
      </w:r>
    </w:p>
    <w:p w14:paraId="119DA70C">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 xml:space="preserve">不影响国土空间规划实施或近期建设； </w:t>
      </w:r>
    </w:p>
    <w:p w14:paraId="16210E2F">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符合国家有关结构、抗震、公共安全等强制性标准及生态环保、文物保护等管控要求；</w:t>
      </w:r>
    </w:p>
    <w:p w14:paraId="3552680E">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原则上以幢（栋）、层</w:t>
      </w:r>
      <w:r>
        <w:rPr>
          <w:rFonts w:hint="eastAsia" w:ascii="仿宋_GB2312" w:hAnsi="仿宋_GB2312" w:eastAsia="仿宋_GB2312" w:cs="仿宋_GB2312"/>
          <w:color w:val="auto"/>
          <w:spacing w:val="3"/>
          <w:sz w:val="32"/>
          <w:szCs w:val="32"/>
          <w:lang w:eastAsia="zh-CN"/>
        </w:rPr>
        <w:t>或</w:t>
      </w:r>
      <w:r>
        <w:rPr>
          <w:rFonts w:hint="eastAsia" w:ascii="仿宋_GB2312" w:hAnsi="仿宋_GB2312" w:eastAsia="仿宋_GB2312" w:cs="仿宋_GB2312"/>
          <w:spacing w:val="3"/>
          <w:sz w:val="32"/>
          <w:szCs w:val="32"/>
          <w:lang w:eastAsia="zh-CN"/>
        </w:rPr>
        <w:t xml:space="preserve">登记单元为单位，有相对独立的功能，并满足相应的配套要求； </w:t>
      </w:r>
    </w:p>
    <w:p w14:paraId="486E5E75">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功能转换部分不存在查封、异议登记、法院或仲裁委员会涉及物权变动的生效法律文书</w:t>
      </w:r>
      <w:r>
        <w:rPr>
          <w:rFonts w:hint="eastAsia" w:ascii="仿宋_GB2312" w:hAnsi="仿宋_GB2312" w:eastAsia="仿宋_GB2312" w:cs="仿宋_GB2312"/>
          <w:color w:val="auto"/>
          <w:spacing w:val="3"/>
          <w:sz w:val="32"/>
          <w:szCs w:val="32"/>
          <w:lang w:eastAsia="zh-CN"/>
        </w:rPr>
        <w:t xml:space="preserve">；不动产已设立抵押登记的，须征得抵押权人书面同意临时功能转换的意见； </w:t>
      </w:r>
    </w:p>
    <w:p w14:paraId="271A852D">
      <w:pPr>
        <w:keepNext w:val="0"/>
        <w:keepLines w:val="0"/>
        <w:pageBreakBefore w:val="0"/>
        <w:widowControl w:val="0"/>
        <w:numPr>
          <w:ilvl w:val="0"/>
          <w:numId w:val="2"/>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符合存量建筑功能临时转换正面清单所列的情形。</w:t>
      </w:r>
    </w:p>
    <w:p w14:paraId="0FEEA59C">
      <w:pPr>
        <w:keepNext w:val="0"/>
        <w:keepLines w:val="0"/>
        <w:pageBreakBefore w:val="0"/>
        <w:widowControl w:val="0"/>
        <w:numPr>
          <w:ilvl w:val="0"/>
          <w:numId w:val="1"/>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存量建筑功能临时转换正面清单</w:t>
      </w:r>
    </w:p>
    <w:p w14:paraId="33959AEA">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default"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eastAsia="zh-CN"/>
        </w:rPr>
        <w:t>商业服务业建筑内部业态调整或功能互换，包括：零售商业、市场、餐饮、旅馆、商务金融（办公）、娱乐、</w:t>
      </w:r>
      <w:r>
        <w:rPr>
          <w:rFonts w:hint="eastAsia" w:ascii="仿宋_GB2312" w:hAnsi="仿宋_GB2312" w:eastAsia="仿宋_GB2312" w:cs="仿宋_GB2312"/>
          <w:spacing w:val="3"/>
          <w:sz w:val="32"/>
          <w:szCs w:val="32"/>
          <w:lang w:val="en-US" w:eastAsia="zh-CN"/>
        </w:rPr>
        <w:t>共用设施及其他</w:t>
      </w:r>
      <w:r>
        <w:rPr>
          <w:rFonts w:hint="eastAsia" w:ascii="仿宋_GB2312" w:hAnsi="仿宋_GB2312" w:eastAsia="仿宋_GB2312" w:cs="仿宋_GB2312"/>
          <w:spacing w:val="3"/>
          <w:sz w:val="32"/>
          <w:szCs w:val="32"/>
          <w:lang w:eastAsia="zh-CN"/>
        </w:rPr>
        <w:t>营业网点等，不包括加油站、加气站等具有特定选址要求的特殊商业。</w:t>
      </w:r>
    </w:p>
    <w:p w14:paraId="5C041439">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利用闲置用房等存量房屋补齐社区、养老、托育、</w:t>
      </w:r>
      <w:r>
        <w:rPr>
          <w:rFonts w:hint="eastAsia" w:ascii="仿宋_GB2312" w:hAnsi="仿宋_GB2312" w:eastAsia="仿宋_GB2312" w:cs="仿宋_GB2312"/>
          <w:kern w:val="2"/>
          <w:sz w:val="32"/>
          <w:szCs w:val="32"/>
          <w:lang w:eastAsia="zh-CN"/>
        </w:rPr>
        <w:t>文化、医疗</w:t>
      </w:r>
      <w:r>
        <w:rPr>
          <w:rFonts w:hint="eastAsia" w:ascii="仿宋_GB2312" w:hAnsi="仿宋_GB2312" w:eastAsia="仿宋_GB2312" w:cs="仿宋_GB2312"/>
          <w:spacing w:val="3"/>
          <w:sz w:val="32"/>
          <w:szCs w:val="32"/>
          <w:lang w:eastAsia="zh-CN"/>
        </w:rPr>
        <w:t>等公共服务设施和市政设施短板。</w:t>
      </w:r>
    </w:p>
    <w:p w14:paraId="6A7DC940">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公园、景区的配套管理用房，在保证主体功能前提下，经相应主管部门同意后，转换为便民商业服务配套设施。</w:t>
      </w:r>
    </w:p>
    <w:p w14:paraId="5DE9F403">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一二类工业厂房、仓储建筑增加物流功能或建筑功能互换。</w:t>
      </w:r>
    </w:p>
    <w:p w14:paraId="527D0352">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历史文化风貌街区</w:t>
      </w:r>
      <w:r>
        <w:rPr>
          <w:rFonts w:hint="eastAsia" w:ascii="仿宋_GB2312" w:hAnsi="仿宋_GB2312" w:eastAsia="仿宋_GB2312" w:cs="仿宋_GB2312"/>
          <w:color w:val="auto"/>
          <w:spacing w:val="3"/>
          <w:sz w:val="32"/>
          <w:szCs w:val="32"/>
          <w:lang w:eastAsia="zh-CN"/>
        </w:rPr>
        <w:t>内的成片住宅，</w:t>
      </w:r>
      <w:r>
        <w:rPr>
          <w:rFonts w:hint="eastAsia" w:ascii="仿宋_GB2312" w:hAnsi="仿宋_GB2312" w:eastAsia="仿宋_GB2312" w:cs="仿宋_GB2312"/>
          <w:spacing w:val="3"/>
          <w:sz w:val="32"/>
          <w:szCs w:val="32"/>
          <w:lang w:eastAsia="zh-CN"/>
        </w:rPr>
        <w:t>在符合国土空间规划和城市更新相关要求的前提下，转化为不产生光、电、音等干扰的创新创业活动的新业态，包括：展览、文化创意、电子商务、众创空间等。</w:t>
      </w:r>
    </w:p>
    <w:p w14:paraId="53D39305">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老旧厂房和工业遗产转化为文化产业和旅游业，从事发展新质生产力、创新创业活动的新业态。</w:t>
      </w:r>
    </w:p>
    <w:p w14:paraId="20928B79">
      <w:pPr>
        <w:keepNext w:val="0"/>
        <w:keepLines w:val="0"/>
        <w:pageBreakBefore w:val="0"/>
        <w:widowControl w:val="0"/>
        <w:numPr>
          <w:ilvl w:val="0"/>
          <w:numId w:val="3"/>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商业、商务办公、工业、仓储、教育用地上的存量房屋转换为教育、医疗、养老、科研、体育、保障性租赁住房、市政设施等使用。</w:t>
      </w:r>
    </w:p>
    <w:p w14:paraId="72D20089">
      <w:pPr>
        <w:keepNext w:val="0"/>
        <w:keepLines w:val="0"/>
        <w:pageBreakBefore w:val="0"/>
        <w:widowControl w:val="0"/>
        <w:numPr>
          <w:ilvl w:val="0"/>
          <w:numId w:val="1"/>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黑体" w:hAnsi="黑体" w:eastAsia="黑体" w:cs="黑体"/>
          <w:spacing w:val="3"/>
          <w:sz w:val="32"/>
          <w:szCs w:val="32"/>
          <w:lang w:val="en-US" w:eastAsia="zh-CN"/>
        </w:rPr>
      </w:pPr>
      <w:r>
        <w:rPr>
          <w:rFonts w:hint="eastAsia" w:ascii="黑体" w:hAnsi="黑体" w:eastAsia="黑体" w:cs="黑体"/>
          <w:spacing w:val="3"/>
          <w:sz w:val="32"/>
          <w:szCs w:val="32"/>
          <w:lang w:val="en-US" w:eastAsia="zh-CN"/>
        </w:rPr>
        <w:t>存量建筑功能临时转换办理程序</w:t>
      </w:r>
    </w:p>
    <w:p w14:paraId="3AF8AA20">
      <w:pPr>
        <w:keepNext w:val="0"/>
        <w:keepLines w:val="0"/>
        <w:pageBreakBefore w:val="0"/>
        <w:widowControl w:val="0"/>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eastAsia="zh-CN"/>
        </w:rPr>
        <w:t>存量建筑功能</w:t>
      </w:r>
      <w:r>
        <w:rPr>
          <w:rFonts w:hint="eastAsia" w:ascii="仿宋_GB2312" w:hAnsi="仿宋_GB2312" w:eastAsia="仿宋_GB2312" w:cs="仿宋_GB2312"/>
          <w:spacing w:val="3"/>
          <w:sz w:val="32"/>
          <w:szCs w:val="32"/>
          <w:lang w:val="en-US" w:eastAsia="zh-CN"/>
        </w:rPr>
        <w:t>临时</w:t>
      </w:r>
      <w:r>
        <w:rPr>
          <w:rFonts w:hint="eastAsia" w:ascii="仿宋_GB2312" w:hAnsi="仿宋_GB2312" w:eastAsia="仿宋_GB2312" w:cs="仿宋_GB2312"/>
          <w:spacing w:val="3"/>
          <w:sz w:val="32"/>
          <w:szCs w:val="32"/>
          <w:lang w:eastAsia="zh-CN"/>
        </w:rPr>
        <w:t>转换</w:t>
      </w:r>
      <w:r>
        <w:rPr>
          <w:rFonts w:hint="eastAsia" w:ascii="仿宋_GB2312" w:hAnsi="仿宋_GB2312" w:eastAsia="仿宋_GB2312" w:cs="仿宋_GB2312"/>
          <w:spacing w:val="3"/>
          <w:sz w:val="32"/>
          <w:szCs w:val="32"/>
          <w:lang w:val="en-US" w:eastAsia="zh-CN"/>
        </w:rPr>
        <w:t>及相应建筑外立面改造，</w:t>
      </w:r>
      <w:r>
        <w:rPr>
          <w:rFonts w:hint="eastAsia" w:ascii="仿宋_GB2312" w:hAnsi="仿宋_GB2312" w:eastAsia="仿宋_GB2312" w:cs="仿宋_GB2312"/>
          <w:spacing w:val="3"/>
          <w:sz w:val="32"/>
          <w:szCs w:val="32"/>
          <w:lang w:eastAsia="zh-CN"/>
        </w:rPr>
        <w:t>无需办理规划许可，但经营主体应按规定向相关部门申请办理施工、消防、经营许可等手续。</w:t>
      </w:r>
    </w:p>
    <w:p w14:paraId="0DB1FE1F">
      <w:pPr>
        <w:keepNext w:val="0"/>
        <w:keepLines w:val="0"/>
        <w:pageBreakBefore w:val="0"/>
        <w:widowControl w:val="0"/>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黑体" w:hAnsi="黑体" w:eastAsia="黑体" w:cs="黑体"/>
          <w:spacing w:val="3"/>
          <w:sz w:val="32"/>
          <w:szCs w:val="32"/>
          <w:lang w:val="en-US" w:eastAsia="zh-CN"/>
        </w:rPr>
      </w:pPr>
      <w:r>
        <w:rPr>
          <w:rFonts w:hint="eastAsia" w:ascii="仿宋_GB2312" w:hAnsi="仿宋_GB2312" w:eastAsia="仿宋_GB2312" w:cs="仿宋_GB2312"/>
          <w:spacing w:val="3"/>
          <w:sz w:val="32"/>
          <w:szCs w:val="32"/>
          <w:lang w:eastAsia="zh-CN"/>
        </w:rPr>
        <w:t>属于正面清单第（六）、（七）情形的，应按以下程序办理：</w:t>
      </w:r>
    </w:p>
    <w:p w14:paraId="0A165663">
      <w:pPr>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经营主体持申请材料（附件1），向项目所在辖区自然资源和规划部门提出申请。</w:t>
      </w:r>
    </w:p>
    <w:p w14:paraId="0823D8D9">
      <w:pPr>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辖区自然资源和规划部门完成初审后，依据相关规定开展公示，公示后提请辖区政府（管委会）组织住建、自然资源、生态环境、市场监管、民政、教育、文体等区相关部门进行联合审查，经审查，符合条件的，辖区政府出具《存量建筑功能临时转换审查意见》（附件2）。</w:t>
      </w:r>
    </w:p>
    <w:p w14:paraId="28CF6EA1">
      <w:pPr>
        <w:keepNext w:val="0"/>
        <w:keepLines w:val="0"/>
        <w:pageBreakBefore w:val="0"/>
        <w:widowControl/>
        <w:numPr>
          <w:ilvl w:val="0"/>
          <w:numId w:val="4"/>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经营主体持《存量建筑功能临时转换审查意见》等材料，向相关部门申请办理有关手续。</w:t>
      </w:r>
    </w:p>
    <w:p w14:paraId="56BAE874">
      <w:pPr>
        <w:keepNext w:val="0"/>
        <w:keepLines w:val="0"/>
        <w:pageBreakBefore w:val="0"/>
        <w:widowControl w:val="0"/>
        <w:kinsoku/>
        <w:wordWrap/>
        <w:overflowPunct/>
        <w:topLinePunct w:val="0"/>
        <w:autoSpaceDE w:val="0"/>
        <w:autoSpaceDN w:val="0"/>
        <w:bidi w:val="0"/>
        <w:adjustRightInd w:val="0"/>
        <w:snapToGrid w:val="0"/>
        <w:spacing w:line="560" w:lineRule="exact"/>
        <w:ind w:firstLine="652" w:firstLineChars="200"/>
        <w:jc w:val="both"/>
        <w:textAlignment w:val="baseline"/>
        <w:rPr>
          <w:rFonts w:ascii="黑体" w:hAnsi="黑体" w:eastAsia="黑体" w:cs="黑体"/>
          <w:color w:val="auto"/>
          <w:spacing w:val="3"/>
          <w:sz w:val="32"/>
          <w:szCs w:val="32"/>
          <w:lang w:eastAsia="zh-CN"/>
        </w:rPr>
      </w:pPr>
      <w:r>
        <w:rPr>
          <w:rFonts w:hint="eastAsia" w:ascii="仿宋_GB2312" w:hAnsi="仿宋_GB2312" w:eastAsia="仿宋_GB2312" w:cs="仿宋_GB2312"/>
          <w:color w:val="auto"/>
          <w:spacing w:val="3"/>
          <w:sz w:val="32"/>
          <w:szCs w:val="32"/>
          <w:lang w:eastAsia="zh-CN"/>
        </w:rPr>
        <w:t>存量建筑功能临时转换有效期为5年，但不得</w:t>
      </w:r>
      <w:r>
        <w:rPr>
          <w:rFonts w:hint="eastAsia" w:ascii="仿宋_GB2312" w:hAnsi="仿宋_GB2312" w:eastAsia="仿宋_GB2312" w:cs="仿宋_GB2312"/>
          <w:spacing w:val="3"/>
          <w:sz w:val="32"/>
          <w:szCs w:val="32"/>
          <w:lang w:eastAsia="zh-CN"/>
        </w:rPr>
        <w:t>超过原批准土地使用年期。</w:t>
      </w:r>
      <w:r>
        <w:rPr>
          <w:rFonts w:hint="eastAsia" w:ascii="仿宋_GB2312" w:hAnsi="仿宋_GB2312" w:eastAsia="仿宋_GB2312" w:cs="仿宋_GB2312"/>
          <w:spacing w:val="3"/>
          <w:sz w:val="32"/>
          <w:szCs w:val="32"/>
          <w:lang w:val="en-US" w:eastAsia="zh-CN"/>
        </w:rPr>
        <w:t>属正面清单第（一）至（五）情形的，存量建筑5年临时利用以相关审查验收、许可办理完成时间起算；</w:t>
      </w:r>
      <w:r>
        <w:rPr>
          <w:rFonts w:hint="eastAsia" w:ascii="仿宋_GB2312" w:hAnsi="仿宋_GB2312" w:eastAsia="仿宋_GB2312" w:cs="仿宋_GB2312"/>
          <w:spacing w:val="3"/>
          <w:sz w:val="32"/>
          <w:szCs w:val="32"/>
          <w:lang w:eastAsia="zh-CN"/>
        </w:rPr>
        <w:t>属于正面清单第（六）、（七）情形的，</w:t>
      </w:r>
      <w:r>
        <w:rPr>
          <w:rFonts w:hint="eastAsia" w:ascii="仿宋_GB2312" w:hAnsi="仿宋_GB2312" w:eastAsia="仿宋_GB2312" w:cs="仿宋_GB2312"/>
          <w:color w:val="auto"/>
          <w:spacing w:val="3"/>
          <w:sz w:val="32"/>
          <w:szCs w:val="32"/>
          <w:lang w:eastAsia="zh-CN"/>
        </w:rPr>
        <w:t>以</w:t>
      </w:r>
      <w:r>
        <w:rPr>
          <w:rFonts w:hint="eastAsia" w:ascii="仿宋_GB2312" w:hAnsi="仿宋_GB2312" w:eastAsia="仿宋_GB2312" w:cs="仿宋_GB2312"/>
          <w:spacing w:val="3"/>
          <w:sz w:val="32"/>
          <w:szCs w:val="32"/>
          <w:lang w:val="en-US" w:eastAsia="zh-CN"/>
        </w:rPr>
        <w:t>《存量建筑功能临时转换审查意见》</w:t>
      </w:r>
      <w:r>
        <w:rPr>
          <w:rFonts w:hint="eastAsia" w:ascii="仿宋_GB2312" w:hAnsi="仿宋_GB2312" w:eastAsia="仿宋_GB2312" w:cs="仿宋_GB2312"/>
          <w:color w:val="auto"/>
          <w:spacing w:val="3"/>
          <w:sz w:val="32"/>
          <w:szCs w:val="32"/>
          <w:lang w:eastAsia="zh-CN"/>
        </w:rPr>
        <w:t>出具之日起算。</w:t>
      </w:r>
    </w:p>
    <w:p w14:paraId="0D1F6E28">
      <w:pPr>
        <w:keepNext w:val="0"/>
        <w:keepLines w:val="0"/>
        <w:pageBreakBefore w:val="0"/>
        <w:widowControl w:val="0"/>
        <w:numPr>
          <w:ilvl w:val="0"/>
          <w:numId w:val="1"/>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黑体" w:hAnsi="黑体" w:eastAsia="黑体" w:cs="黑体"/>
          <w:color w:val="auto"/>
          <w:spacing w:val="3"/>
          <w:sz w:val="32"/>
          <w:szCs w:val="32"/>
          <w:lang w:eastAsia="zh-CN"/>
        </w:rPr>
      </w:pPr>
      <w:r>
        <w:rPr>
          <w:rFonts w:hint="eastAsia" w:ascii="黑体" w:hAnsi="黑体" w:eastAsia="黑体" w:cs="黑体"/>
          <w:color w:val="auto"/>
          <w:spacing w:val="3"/>
          <w:sz w:val="32"/>
          <w:szCs w:val="32"/>
          <w:lang w:eastAsia="zh-CN"/>
        </w:rPr>
        <w:t>其他事项</w:t>
      </w:r>
    </w:p>
    <w:p w14:paraId="14285F7E">
      <w:pPr>
        <w:keepNext w:val="0"/>
        <w:keepLines w:val="0"/>
        <w:pageBreakBefore w:val="0"/>
        <w:widowControl w:val="0"/>
        <w:numPr>
          <w:ilvl w:val="0"/>
          <w:numId w:val="5"/>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color w:val="auto"/>
          <w:spacing w:val="3"/>
          <w:sz w:val="32"/>
          <w:szCs w:val="32"/>
          <w:lang w:eastAsia="zh-CN"/>
        </w:rPr>
      </w:pPr>
      <w:r>
        <w:rPr>
          <w:rFonts w:hint="eastAsia" w:ascii="仿宋_GB2312" w:hAnsi="仿宋_GB2312" w:eastAsia="仿宋_GB2312" w:cs="仿宋_GB2312"/>
          <w:color w:val="auto"/>
          <w:spacing w:val="3"/>
          <w:sz w:val="32"/>
          <w:szCs w:val="32"/>
          <w:lang w:eastAsia="zh-CN"/>
        </w:rPr>
        <w:t>各级人民政府及部门所有或管理的教育、医疗、文化、体育、社会福利与保障、交通等服务设施转换为其他功能的，按照有关规定执行。</w:t>
      </w:r>
    </w:p>
    <w:p w14:paraId="097329BB">
      <w:pPr>
        <w:keepNext w:val="0"/>
        <w:keepLines w:val="0"/>
        <w:pageBreakBefore w:val="0"/>
        <w:widowControl w:val="0"/>
        <w:numPr>
          <w:ilvl w:val="0"/>
          <w:numId w:val="5"/>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color w:val="auto"/>
          <w:spacing w:val="3"/>
          <w:sz w:val="32"/>
          <w:szCs w:val="32"/>
          <w:lang w:eastAsia="zh-CN"/>
        </w:rPr>
      </w:pPr>
      <w:r>
        <w:rPr>
          <w:rFonts w:hint="eastAsia" w:ascii="仿宋_GB2312" w:hAnsi="仿宋_GB2312" w:eastAsia="仿宋_GB2312" w:cs="仿宋_GB2312"/>
          <w:color w:val="auto"/>
          <w:spacing w:val="3"/>
          <w:sz w:val="32"/>
          <w:szCs w:val="32"/>
          <w:lang w:eastAsia="zh-CN"/>
        </w:rPr>
        <w:t>建筑功能临时转换不改变原规划许可或不动产证载用途，届满后应当自行恢复原房屋用途，未按规定恢复原建筑物功能的，由相关执法机构依法依规查处。</w:t>
      </w:r>
    </w:p>
    <w:p w14:paraId="52B858B8">
      <w:pPr>
        <w:keepNext w:val="0"/>
        <w:keepLines w:val="0"/>
        <w:pageBreakBefore w:val="0"/>
        <w:widowControl w:val="0"/>
        <w:numPr>
          <w:ilvl w:val="0"/>
          <w:numId w:val="5"/>
        </w:numPr>
        <w:kinsoku/>
        <w:wordWrap/>
        <w:overflowPunct/>
        <w:topLinePunct w:val="0"/>
        <w:autoSpaceDE w:val="0"/>
        <w:autoSpaceDN w:val="0"/>
        <w:bidi w:val="0"/>
        <w:adjustRightInd w:val="0"/>
        <w:snapToGrid w:val="0"/>
        <w:spacing w:line="560" w:lineRule="exact"/>
        <w:ind w:firstLine="652" w:firstLineChars="200"/>
        <w:jc w:val="both"/>
        <w:textAlignment w:val="baseline"/>
        <w:rPr>
          <w:rFonts w:ascii="仿宋_GB2312" w:hAnsi="仿宋_GB2312" w:eastAsia="仿宋_GB2312" w:cs="仿宋_GB2312"/>
          <w:color w:val="auto"/>
          <w:spacing w:val="3"/>
          <w:sz w:val="32"/>
          <w:szCs w:val="32"/>
          <w:lang w:eastAsia="zh-CN"/>
        </w:rPr>
      </w:pPr>
      <w:r>
        <w:rPr>
          <w:rFonts w:hint="eastAsia" w:ascii="仿宋_GB2312" w:hAnsi="仿宋_GB2312" w:eastAsia="仿宋_GB2312" w:cs="仿宋_GB2312"/>
          <w:color w:val="auto"/>
          <w:spacing w:val="3"/>
          <w:sz w:val="32"/>
          <w:szCs w:val="32"/>
          <w:lang w:eastAsia="zh-CN"/>
        </w:rPr>
        <w:t>自然资源、住房城乡建设、城市管理、消防救援、市场监管、民政、教育、体育、卫生健康等部门应按照各自职责协同做好存量建筑功能临时转换的审查、管理和监督工作；属地政府负责落实属地监管责任。</w:t>
      </w:r>
    </w:p>
    <w:p w14:paraId="0ED3C54F">
      <w:pPr>
        <w:keepNext w:val="0"/>
        <w:keepLines w:val="0"/>
        <w:pageBreakBefore w:val="0"/>
        <w:widowControl w:val="0"/>
        <w:numPr>
          <w:ilvl w:val="0"/>
          <w:numId w:val="5"/>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default"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本意见</w:t>
      </w:r>
      <w:r>
        <w:rPr>
          <w:rFonts w:hint="eastAsia" w:ascii="仿宋_GB2312" w:hAnsi="仿宋_GB2312" w:eastAsia="仿宋_GB2312" w:cs="仿宋_GB2312"/>
          <w:spacing w:val="3"/>
          <w:sz w:val="32"/>
          <w:szCs w:val="32"/>
          <w:lang w:eastAsia="zh-CN"/>
        </w:rPr>
        <w:t>正面清单所列情形在</w:t>
      </w:r>
      <w:r>
        <w:rPr>
          <w:rFonts w:hint="eastAsia" w:ascii="仿宋_GB2312" w:hAnsi="仿宋_GB2312" w:eastAsia="仿宋_GB2312" w:cs="仿宋_GB2312"/>
          <w:spacing w:val="3"/>
          <w:sz w:val="32"/>
          <w:szCs w:val="32"/>
          <w:lang w:val="en-US" w:eastAsia="zh-CN"/>
        </w:rPr>
        <w:t>实施过程中</w:t>
      </w:r>
      <w:r>
        <w:rPr>
          <w:rFonts w:hint="eastAsia" w:ascii="仿宋_GB2312" w:hAnsi="仿宋_GB2312" w:eastAsia="仿宋_GB2312" w:cs="仿宋_GB2312"/>
          <w:spacing w:val="3"/>
          <w:sz w:val="32"/>
          <w:szCs w:val="32"/>
          <w:lang w:eastAsia="zh-CN"/>
        </w:rPr>
        <w:t>，可</w:t>
      </w:r>
      <w:r>
        <w:rPr>
          <w:rFonts w:hint="eastAsia" w:ascii="仿宋_GB2312" w:hAnsi="仿宋_GB2312" w:eastAsia="仿宋_GB2312" w:cs="仿宋_GB2312"/>
          <w:spacing w:val="3"/>
          <w:sz w:val="32"/>
          <w:szCs w:val="32"/>
          <w:lang w:val="en-US" w:eastAsia="zh-CN"/>
        </w:rPr>
        <w:t>结合</w:t>
      </w:r>
      <w:r>
        <w:rPr>
          <w:rFonts w:hint="eastAsia" w:ascii="仿宋_GB2312" w:hAnsi="仿宋_GB2312" w:eastAsia="仿宋_GB2312" w:cs="仿宋_GB2312"/>
          <w:spacing w:val="3"/>
          <w:sz w:val="32"/>
          <w:szCs w:val="32"/>
          <w:lang w:eastAsia="zh-CN"/>
        </w:rPr>
        <w:t>城市发展需要和工作实际</w:t>
      </w:r>
      <w:r>
        <w:rPr>
          <w:rFonts w:hint="eastAsia" w:ascii="仿宋_GB2312" w:hAnsi="仿宋_GB2312" w:eastAsia="仿宋_GB2312" w:cs="仿宋_GB2312"/>
          <w:spacing w:val="3"/>
          <w:sz w:val="32"/>
          <w:szCs w:val="32"/>
          <w:lang w:val="en-US" w:eastAsia="zh-CN"/>
        </w:rPr>
        <w:t>实行</w:t>
      </w:r>
      <w:r>
        <w:rPr>
          <w:rFonts w:hint="eastAsia" w:ascii="仿宋_GB2312" w:hAnsi="仿宋_GB2312" w:eastAsia="仿宋_GB2312" w:cs="仿宋_GB2312"/>
          <w:spacing w:val="3"/>
          <w:sz w:val="32"/>
          <w:szCs w:val="32"/>
          <w:lang w:eastAsia="zh-CN"/>
        </w:rPr>
        <w:t>动态更新，如法律、法规及其他政策另有规定的，从其规定。</w:t>
      </w:r>
      <w:r>
        <w:rPr>
          <w:rFonts w:hint="eastAsia" w:ascii="仿宋_GB2312" w:hAnsi="仿宋_GB2312" w:eastAsia="仿宋_GB2312" w:cs="仿宋_GB2312"/>
          <w:spacing w:val="3"/>
          <w:sz w:val="32"/>
          <w:szCs w:val="32"/>
          <w:lang w:val="en-US" w:eastAsia="zh-CN"/>
        </w:rPr>
        <w:t>各县（市）自然资源部门可会同住房城乡建设等部门，结合本地实际，制定本辖区存量建筑功能临时转换正面清单。</w:t>
      </w:r>
    </w:p>
    <w:p w14:paraId="23A071BC">
      <w:pPr>
        <w:keepNext w:val="0"/>
        <w:keepLines w:val="0"/>
        <w:pageBreakBefore w:val="0"/>
        <w:widowControl w:val="0"/>
        <w:numPr>
          <w:ilvl w:val="0"/>
          <w:numId w:val="5"/>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default"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本意见</w:t>
      </w:r>
      <w:r>
        <w:rPr>
          <w:rFonts w:hint="eastAsia" w:ascii="仿宋_GB2312" w:hAnsi="仿宋_GB2312" w:eastAsia="仿宋_GB2312" w:cs="仿宋_GB2312"/>
          <w:spacing w:val="3"/>
          <w:sz w:val="32"/>
          <w:szCs w:val="32"/>
          <w:lang w:eastAsia="zh-CN"/>
        </w:rPr>
        <w:t>自印发之日起施行，有效期</w:t>
      </w: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lang w:eastAsia="zh-CN"/>
        </w:rPr>
        <w:t>年。</w:t>
      </w:r>
    </w:p>
    <w:p w14:paraId="069AC515">
      <w:pPr>
        <w:keepNext w:val="0"/>
        <w:keepLines w:val="0"/>
        <w:pageBreakBefore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pacing w:val="3"/>
          <w:sz w:val="32"/>
          <w:szCs w:val="32"/>
          <w:lang w:eastAsia="zh-CN"/>
        </w:rPr>
      </w:pPr>
    </w:p>
    <w:p w14:paraId="6E8FAC8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附件：1、申请材料清单</w:t>
      </w:r>
    </w:p>
    <w:p w14:paraId="0D42AD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1630" w:firstLineChars="5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2、申请报告</w:t>
      </w:r>
    </w:p>
    <w:p w14:paraId="4FF487D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1630" w:firstLineChars="500"/>
        <w:jc w:val="both"/>
        <w:textAlignment w:val="baseline"/>
        <w:rPr>
          <w:rFonts w:ascii="仿宋_GB2312" w:hAnsi="仿宋_GB2312" w:eastAsia="仿宋_GB2312" w:cs="仿宋_GB2312"/>
          <w:spacing w:val="3"/>
          <w:sz w:val="32"/>
          <w:szCs w:val="32"/>
          <w:lang w:eastAsia="zh-CN"/>
        </w:rPr>
      </w:pPr>
      <w:r>
        <w:rPr>
          <w:rFonts w:hint="eastAsia" w:ascii="仿宋_GB2312" w:hAnsi="仿宋_GB2312" w:eastAsia="仿宋_GB2312" w:cs="仿宋_GB2312"/>
          <w:spacing w:val="3"/>
          <w:sz w:val="32"/>
          <w:szCs w:val="32"/>
          <w:lang w:val="en-US" w:eastAsia="zh-CN"/>
        </w:rPr>
        <w:t>3、存量建筑功能临时转换审查意见</w:t>
      </w:r>
    </w:p>
    <w:p w14:paraId="56B3D2AE">
      <w:pPr>
        <w:keepNext w:val="0"/>
        <w:keepLines w:val="0"/>
        <w:pageBreakBefore w:val="0"/>
        <w:wordWrap/>
        <w:overflowPunct/>
        <w:topLinePunct w:val="0"/>
        <w:autoSpaceDE w:val="0"/>
        <w:autoSpaceDN w:val="0"/>
        <w:bidi w:val="0"/>
        <w:adjustRightInd w:val="0"/>
        <w:snapToGrid w:val="0"/>
        <w:spacing w:line="560" w:lineRule="exact"/>
        <w:textAlignment w:val="baseline"/>
        <w:rPr>
          <w:rFonts w:hint="eastAsia" w:ascii="黑体" w:hAnsi="黑体" w:eastAsia="黑体" w:cs="黑体"/>
          <w:b w:val="0"/>
          <w:bCs w:val="0"/>
          <w:spacing w:val="3"/>
          <w:sz w:val="32"/>
          <w:szCs w:val="32"/>
          <w:lang w:val="en-US" w:eastAsia="zh-CN"/>
        </w:rPr>
      </w:pPr>
      <w:r>
        <w:rPr>
          <w:rFonts w:hint="eastAsia" w:ascii="黑体" w:hAnsi="黑体" w:eastAsia="黑体" w:cs="黑体"/>
          <w:b w:val="0"/>
          <w:bCs w:val="0"/>
          <w:spacing w:val="3"/>
          <w:sz w:val="32"/>
          <w:szCs w:val="32"/>
          <w:lang w:val="en-US" w:eastAsia="zh-CN"/>
        </w:rPr>
        <w:br w:type="page"/>
      </w:r>
    </w:p>
    <w:p w14:paraId="6E6F62B8">
      <w:pPr>
        <w:rPr>
          <w:rFonts w:hint="eastAsia" w:ascii="黑体" w:hAnsi="黑体" w:eastAsia="黑体" w:cs="黑体"/>
          <w:b w:val="0"/>
          <w:bCs w:val="0"/>
          <w:spacing w:val="3"/>
          <w:sz w:val="32"/>
          <w:szCs w:val="32"/>
          <w:lang w:val="en-US" w:eastAsia="zh-CN"/>
        </w:rPr>
      </w:pPr>
      <w:r>
        <w:rPr>
          <w:rFonts w:hint="eastAsia" w:ascii="黑体" w:hAnsi="黑体" w:eastAsia="黑体" w:cs="黑体"/>
          <w:b w:val="0"/>
          <w:bCs w:val="0"/>
          <w:spacing w:val="3"/>
          <w:sz w:val="32"/>
          <w:szCs w:val="32"/>
          <w:lang w:val="en-US" w:eastAsia="zh-CN"/>
        </w:rPr>
        <w:t>附件1</w:t>
      </w:r>
    </w:p>
    <w:p w14:paraId="71786EF1">
      <w:pPr>
        <w:pStyle w:val="2"/>
        <w:spacing w:line="296" w:lineRule="auto"/>
        <w:rPr>
          <w:rFonts w:hint="eastAsia" w:ascii="仿宋_GB2312" w:hAnsi="仿宋_GB2312" w:eastAsia="仿宋_GB2312" w:cs="仿宋_GB2312"/>
        </w:rPr>
      </w:pPr>
    </w:p>
    <w:p w14:paraId="3FE78F90">
      <w:pPr>
        <w:spacing w:before="143" w:line="219" w:lineRule="auto"/>
        <w:ind w:left="3106"/>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21"/>
          <w:sz w:val="44"/>
          <w:szCs w:val="44"/>
        </w:rPr>
        <w:t>申报材料清单</w:t>
      </w:r>
    </w:p>
    <w:p w14:paraId="50196C6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hint="eastAsia" w:ascii="仿宋_GB2312" w:hAnsi="仿宋_GB2312" w:eastAsia="仿宋_GB2312" w:cs="仿宋_GB2312"/>
        </w:rPr>
      </w:pPr>
    </w:p>
    <w:p w14:paraId="6181B848">
      <w:pPr>
        <w:keepNext w:val="0"/>
        <w:keepLines w:val="0"/>
        <w:pageBreakBefore w:val="0"/>
        <w:widowControl/>
        <w:numPr>
          <w:ilvl w:val="0"/>
          <w:numId w:val="6"/>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申请报告(原件一份)；</w:t>
      </w:r>
    </w:p>
    <w:p w14:paraId="324775DD">
      <w:pPr>
        <w:keepNext w:val="0"/>
        <w:keepLines w:val="0"/>
        <w:pageBreakBefore w:val="0"/>
        <w:widowControl/>
        <w:numPr>
          <w:ilvl w:val="0"/>
          <w:numId w:val="6"/>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实施主体身份证明文件;授权委托的，提供授权委托书(原件一份) 以及委托代理人身份证(复印件一份)；</w:t>
      </w:r>
    </w:p>
    <w:p w14:paraId="46C50BD6">
      <w:pPr>
        <w:keepNext w:val="0"/>
        <w:keepLines w:val="0"/>
        <w:pageBreakBefore w:val="0"/>
        <w:widowControl/>
        <w:numPr>
          <w:ilvl w:val="0"/>
          <w:numId w:val="6"/>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房屋租赁合同、不动产权属证明或其他合法权源证明，包含但不限于不动产权证、房屋所有权证、国有土地使用证等(复印件一份)；</w:t>
      </w:r>
    </w:p>
    <w:p w14:paraId="3C37F0DA">
      <w:pPr>
        <w:keepNext w:val="0"/>
        <w:keepLines w:val="0"/>
        <w:pageBreakBefore w:val="0"/>
        <w:widowControl/>
        <w:numPr>
          <w:ilvl w:val="0"/>
          <w:numId w:val="6"/>
        </w:numPr>
        <w:kinsoku w:val="0"/>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房屋建筑安全鉴定报告、评估报告等文件</w:t>
      </w:r>
      <w:r>
        <w:rPr>
          <w:rFonts w:hint="eastAsia" w:ascii="仿宋_GB2312" w:hAnsi="仿宋_GB2312" w:eastAsia="仿宋_GB2312" w:cs="仿宋_GB2312"/>
          <w:spacing w:val="3"/>
          <w:sz w:val="32"/>
          <w:szCs w:val="32"/>
          <w:lang w:val="en-US" w:eastAsia="zh-CN"/>
        </w:rPr>
        <w:t>(复印件一份)</w:t>
      </w:r>
      <w:r>
        <w:rPr>
          <w:rFonts w:hint="eastAsia" w:ascii="仿宋_GB2312" w:hAnsi="仿宋_GB2312" w:eastAsia="仿宋_GB2312" w:cs="仿宋_GB2312"/>
          <w:b w:val="0"/>
          <w:bCs w:val="0"/>
          <w:spacing w:val="3"/>
          <w:sz w:val="32"/>
          <w:szCs w:val="32"/>
          <w:lang w:val="en-US" w:eastAsia="zh-CN"/>
        </w:rPr>
        <w:t>。</w:t>
      </w:r>
    </w:p>
    <w:p w14:paraId="66942DC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1A7EB3D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006C401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3A7C89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6602D2D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3D4AD49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3897E8E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469456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2591CDC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14C16E3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5DF4DAC4">
      <w:pPr>
        <w:rPr>
          <w:rFonts w:hint="eastAsia" w:ascii="黑体" w:hAnsi="黑体" w:eastAsia="黑体" w:cs="黑体"/>
          <w:b w:val="0"/>
          <w:bCs w:val="0"/>
          <w:spacing w:val="3"/>
          <w:sz w:val="32"/>
          <w:szCs w:val="32"/>
          <w:lang w:val="en-US" w:eastAsia="zh-CN"/>
        </w:rPr>
      </w:pPr>
    </w:p>
    <w:p w14:paraId="2C00E656">
      <w:pPr>
        <w:rPr>
          <w:rFonts w:hint="eastAsia" w:ascii="黑体" w:hAnsi="黑体" w:eastAsia="黑体" w:cs="黑体"/>
          <w:b w:val="0"/>
          <w:bCs w:val="0"/>
          <w:spacing w:val="3"/>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cs="黑体"/>
          <w:b w:val="0"/>
          <w:bCs w:val="0"/>
          <w:spacing w:val="3"/>
          <w:sz w:val="32"/>
          <w:szCs w:val="32"/>
          <w:lang w:val="en-US" w:eastAsia="zh-CN"/>
        </w:rPr>
        <w:t>以上材料清单仅作参考，各辖区政府可根据情况自行制定。</w:t>
      </w:r>
    </w:p>
    <w:p w14:paraId="104313E5">
      <w:pPr>
        <w:rPr>
          <w:rFonts w:hint="eastAsia" w:ascii="仿宋" w:hAnsi="仿宋" w:eastAsia="仿宋" w:cs="仿宋"/>
          <w:spacing w:val="3"/>
          <w:sz w:val="32"/>
          <w:szCs w:val="32"/>
          <w:lang w:val="en-US" w:eastAsia="zh-CN"/>
        </w:rPr>
      </w:pPr>
      <w:r>
        <w:rPr>
          <w:rFonts w:hint="eastAsia" w:ascii="黑体" w:hAnsi="黑体" w:eastAsia="黑体" w:cs="黑体"/>
          <w:b w:val="0"/>
          <w:bCs w:val="0"/>
          <w:spacing w:val="3"/>
          <w:sz w:val="32"/>
          <w:szCs w:val="32"/>
          <w:lang w:val="en-US" w:eastAsia="zh-CN"/>
        </w:rPr>
        <w:t>附件2</w:t>
      </w:r>
    </w:p>
    <w:p w14:paraId="56C62369">
      <w:pPr>
        <w:keepNext w:val="0"/>
        <w:keepLines w:val="0"/>
        <w:pageBreakBefore w:val="0"/>
        <w:widowControl/>
        <w:kinsoku w:val="0"/>
        <w:wordWrap/>
        <w:overflowPunct/>
        <w:topLinePunct w:val="0"/>
        <w:autoSpaceDE w:val="0"/>
        <w:autoSpaceDN w:val="0"/>
        <w:bidi w:val="0"/>
        <w:adjustRightInd w:val="0"/>
        <w:snapToGrid w:val="0"/>
        <w:spacing w:before="182" w:line="560" w:lineRule="exact"/>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19"/>
          <w:sz w:val="44"/>
          <w:szCs w:val="44"/>
        </w:rPr>
        <w:t>申请报告</w:t>
      </w:r>
    </w:p>
    <w:p w14:paraId="50115F92">
      <w:pPr>
        <w:keepNext w:val="0"/>
        <w:keepLines w:val="0"/>
        <w:pageBreakBefore w:val="0"/>
        <w:widowControl/>
        <w:kinsoku w:val="0"/>
        <w:wordWrap/>
        <w:overflowPunct/>
        <w:topLinePunct w:val="0"/>
        <w:autoSpaceDE w:val="0"/>
        <w:autoSpaceDN w:val="0"/>
        <w:bidi w:val="0"/>
        <w:adjustRightInd w:val="0"/>
        <w:snapToGrid w:val="0"/>
        <w:spacing w:before="145" w:line="560" w:lineRule="exact"/>
        <w:jc w:val="center"/>
        <w:textAlignment w:val="baseline"/>
        <w:rPr>
          <w:rFonts w:hint="eastAsia" w:ascii="方正小标宋简体" w:hAnsi="方正小标宋简体" w:eastAsia="方正小标宋简体" w:cs="方正小标宋简体"/>
          <w:b w:val="0"/>
          <w:bCs w:val="0"/>
          <w:spacing w:val="12"/>
          <w:sz w:val="33"/>
          <w:szCs w:val="33"/>
        </w:rPr>
      </w:pPr>
    </w:p>
    <w:p w14:paraId="232099E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区自然资源和规划局：</w:t>
      </w:r>
    </w:p>
    <w:p w14:paraId="735F80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我公司申请将位于新乡市</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区</w:t>
      </w:r>
      <w:r>
        <w:rPr>
          <w:rFonts w:hint="eastAsia" w:ascii="仿宋_GB2312" w:hAnsi="仿宋_GB2312" w:eastAsia="仿宋_GB2312" w:cs="仿宋_GB2312"/>
          <w:i/>
          <w:iCs/>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 xml:space="preserve"> 街道</w:t>
      </w:r>
      <w:r>
        <w:rPr>
          <w:rFonts w:hint="eastAsia" w:ascii="仿宋_GB2312" w:hAnsi="仿宋_GB2312" w:eastAsia="仿宋_GB2312" w:cs="仿宋_GB2312"/>
          <w:spacing w:val="3"/>
          <w:sz w:val="32"/>
          <w:szCs w:val="32"/>
          <w:u w:val="single"/>
          <w:lang w:val="en-US" w:eastAsia="zh-CN"/>
        </w:rPr>
        <w:t xml:space="preserve"> (门牌号) </w:t>
      </w:r>
      <w:r>
        <w:rPr>
          <w:rFonts w:hint="eastAsia" w:ascii="仿宋_GB2312" w:hAnsi="仿宋_GB2312" w:eastAsia="仿宋_GB2312" w:cs="仿宋_GB2312"/>
          <w:spacing w:val="3"/>
          <w:sz w:val="32"/>
          <w:szCs w:val="32"/>
          <w:lang w:val="en-US" w:eastAsia="zh-CN"/>
        </w:rPr>
        <w:t>房屋,临时转化建筑使用功能。具体情况如下：</w:t>
      </w:r>
    </w:p>
    <w:p w14:paraId="05F8AF3B">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项目名称：XX工厂；</w:t>
      </w:r>
    </w:p>
    <w:p w14:paraId="69C2F75B">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既有建筑证载（或规划）用途为XXX，拟转换使用功能为XXX；</w:t>
      </w:r>
    </w:p>
    <w:p w14:paraId="0FF8DC3A">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拟转换功能位置：XX工厂XX幢；</w:t>
      </w:r>
    </w:p>
    <w:p w14:paraId="79F21C35">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 xml:space="preserve">拟转换功能建筑面积XX平方米; </w:t>
      </w:r>
    </w:p>
    <w:p w14:paraId="1496C1B9">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本单位承诺该建筑不存在违规使用土地、违反出让合同或划拨决定书、监管协议规定的行为、违法建设行为；</w:t>
      </w:r>
    </w:p>
    <w:p w14:paraId="4EDFC44E">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本单位承诺因城市更新、城市建设等需要征收或收购、收回的，仍按不动产权证等合法权属证明载明的土地用途、建筑面积、建筑功能等给予补偿；</w:t>
      </w:r>
    </w:p>
    <w:p w14:paraId="0E62B117">
      <w:pPr>
        <w:keepNext w:val="0"/>
        <w:keepLines w:val="0"/>
        <w:pageBreakBefore w:val="0"/>
        <w:widowControl/>
        <w:numPr>
          <w:ilvl w:val="0"/>
          <w:numId w:val="7"/>
        </w:numPr>
        <w:kinsoku w:val="0"/>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其他需要说明的情形。</w:t>
      </w:r>
    </w:p>
    <w:p w14:paraId="671C1EC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特此申请。</w:t>
      </w:r>
    </w:p>
    <w:p w14:paraId="6E9FDD7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22F305C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联系人：                联系电话：</w:t>
      </w:r>
    </w:p>
    <w:p w14:paraId="56D7778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4564" w:firstLineChars="14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单位名称： (盖章)</w:t>
      </w:r>
    </w:p>
    <w:p w14:paraId="1A9743C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5216" w:firstLineChars="16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年   月   日</w:t>
      </w:r>
    </w:p>
    <w:p w14:paraId="0ED2850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5216" w:firstLineChars="1600"/>
        <w:jc w:val="both"/>
        <w:textAlignment w:val="baseline"/>
        <w:rPr>
          <w:rFonts w:hint="eastAsia" w:ascii="仿宋_GB2312" w:hAnsi="仿宋_GB2312" w:eastAsia="仿宋_GB2312" w:cs="仿宋_GB2312"/>
          <w:spacing w:val="3"/>
          <w:sz w:val="32"/>
          <w:szCs w:val="32"/>
          <w:lang w:val="en-US" w:eastAsia="zh-CN"/>
        </w:rPr>
      </w:pPr>
    </w:p>
    <w:p w14:paraId="1962A40C">
      <w:pPr>
        <w:rPr>
          <w:rFonts w:hint="eastAsia" w:ascii="仿宋_GB2312" w:hAnsi="仿宋_GB2312" w:eastAsia="仿宋_GB2312" w:cs="仿宋_GB2312"/>
          <w:b w:val="0"/>
          <w:bCs w:val="0"/>
          <w:spacing w:val="3"/>
          <w:sz w:val="32"/>
          <w:szCs w:val="32"/>
          <w:lang w:val="en-US" w:eastAsia="zh-CN"/>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cs="黑体"/>
          <w:b w:val="0"/>
          <w:bCs w:val="0"/>
          <w:spacing w:val="3"/>
          <w:sz w:val="32"/>
          <w:szCs w:val="32"/>
          <w:lang w:val="en-US" w:eastAsia="zh-CN"/>
        </w:rPr>
        <w:t>以上申请报告仅作参考，各辖区政府可根据情况自行制定。</w:t>
      </w:r>
      <w:r>
        <w:rPr>
          <w:rFonts w:hint="eastAsia" w:ascii="仿宋_GB2312" w:hAnsi="仿宋_GB2312" w:eastAsia="仿宋_GB2312" w:cs="仿宋_GB2312"/>
          <w:b w:val="0"/>
          <w:bCs w:val="0"/>
          <w:spacing w:val="3"/>
          <w:sz w:val="32"/>
          <w:szCs w:val="32"/>
          <w:lang w:val="en-US" w:eastAsia="zh-CN"/>
        </w:rPr>
        <w:br w:type="page"/>
      </w:r>
    </w:p>
    <w:p w14:paraId="7F714462">
      <w:pPr>
        <w:rPr>
          <w:rFonts w:hint="eastAsia" w:ascii="黑体" w:hAnsi="黑体" w:eastAsia="黑体" w:cs="黑体"/>
          <w:b w:val="0"/>
          <w:bCs w:val="0"/>
          <w:spacing w:val="3"/>
          <w:sz w:val="32"/>
          <w:szCs w:val="32"/>
          <w:lang w:val="en-US" w:eastAsia="zh-CN"/>
        </w:rPr>
      </w:pPr>
      <w:r>
        <w:rPr>
          <w:rFonts w:hint="eastAsia" w:ascii="黑体" w:hAnsi="黑体" w:eastAsia="黑体" w:cs="黑体"/>
          <w:b w:val="0"/>
          <w:bCs w:val="0"/>
          <w:spacing w:val="3"/>
          <w:sz w:val="32"/>
          <w:szCs w:val="32"/>
          <w:lang w:val="en-US" w:eastAsia="zh-CN"/>
        </w:rPr>
        <w:t>附件3</w:t>
      </w:r>
    </w:p>
    <w:p w14:paraId="394E5EE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宋体" w:hAnsi="宋体" w:eastAsia="宋体" w:cs="宋体"/>
          <w:b/>
          <w:bCs/>
          <w:spacing w:val="7344"/>
          <w:w w:val="100"/>
          <w:kern w:val="0"/>
          <w:sz w:val="48"/>
          <w:szCs w:val="48"/>
          <w:fitText w:val="7824" w:id="1558793881"/>
          <w:lang w:eastAsia="zh-CN"/>
        </w:rPr>
      </w:pPr>
    </w:p>
    <w:p w14:paraId="2291899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lang w:val="en-US" w:eastAsia="zh-CN"/>
        </w:rPr>
        <w:t>存量建筑功能临时转换审查意见</w:t>
      </w:r>
    </w:p>
    <w:p w14:paraId="23291EA3">
      <w:pPr>
        <w:keepNext w:val="0"/>
        <w:keepLines w:val="0"/>
        <w:pageBreakBefore w:val="0"/>
        <w:widowControl/>
        <w:kinsoku w:val="0"/>
        <w:wordWrap/>
        <w:overflowPunct/>
        <w:topLinePunct w:val="0"/>
        <w:autoSpaceDE w:val="0"/>
        <w:autoSpaceDN w:val="0"/>
        <w:bidi w:val="0"/>
        <w:adjustRightInd w:val="0"/>
        <w:snapToGrid w:val="0"/>
        <w:spacing w:line="560" w:lineRule="exact"/>
        <w:ind w:left="3869"/>
        <w:textAlignment w:val="baseline"/>
        <w:rPr>
          <w:rFonts w:hint="eastAsia" w:ascii="仿宋_GB2312" w:hAnsi="仿宋_GB2312" w:eastAsia="仿宋_GB2312" w:cs="仿宋_GB2312"/>
          <w:spacing w:val="12"/>
          <w:sz w:val="33"/>
          <w:szCs w:val="33"/>
          <w:lang w:val="en-US" w:eastAsia="zh-CN"/>
        </w:rPr>
      </w:pPr>
    </w:p>
    <w:p w14:paraId="41E1792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w:t>
      </w:r>
    </w:p>
    <w:p w14:paraId="5980CF0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你公司于</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年</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月</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日申请将位于</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u w:val="none"/>
          <w:lang w:val="en-US" w:eastAsia="zh-CN"/>
        </w:rPr>
        <w:t>的</w:t>
      </w:r>
      <w:r>
        <w:rPr>
          <w:rFonts w:hint="eastAsia" w:ascii="仿宋_GB2312" w:hAnsi="仿宋_GB2312" w:eastAsia="仿宋_GB2312" w:cs="仿宋_GB2312"/>
          <w:spacing w:val="3"/>
          <w:sz w:val="32"/>
          <w:szCs w:val="32"/>
          <w:lang w:val="en-US" w:eastAsia="zh-CN"/>
        </w:rPr>
        <w:t>建筑物临时由</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用途转化为</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用途，拟转换建筑面积为</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u w:val="none"/>
          <w:lang w:val="en-US" w:eastAsia="zh-CN"/>
        </w:rPr>
        <w:t>平方米</w:t>
      </w:r>
      <w:r>
        <w:rPr>
          <w:rFonts w:hint="eastAsia" w:ascii="仿宋_GB2312" w:hAnsi="仿宋_GB2312" w:eastAsia="仿宋_GB2312" w:cs="仿宋_GB2312"/>
          <w:spacing w:val="3"/>
          <w:sz w:val="32"/>
          <w:szCs w:val="32"/>
          <w:lang w:val="en-US" w:eastAsia="zh-CN"/>
        </w:rPr>
        <w:t>。</w:t>
      </w:r>
    </w:p>
    <w:p w14:paraId="0306D33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按照</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河南省自然资源厅 河南省财政厅 河南省住房和城乡建设厅关于规划用地全链条支持城市更新若干政策的通知</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豫自然资规</w:t>
      </w:r>
      <w:r>
        <w:rPr>
          <w:rFonts w:hint="eastAsia" w:ascii="仿宋_GB2312" w:hAnsi="仿宋_GB2312" w:eastAsia="仿宋_GB2312" w:cs="仿宋_GB2312"/>
          <w:spacing w:val="3"/>
          <w:sz w:val="32"/>
          <w:szCs w:val="32"/>
        </w:rPr>
        <w:t>〔20</w:t>
      </w:r>
      <w:r>
        <w:rPr>
          <w:rFonts w:hint="eastAsia" w:ascii="仿宋_GB2312" w:hAnsi="仿宋_GB2312" w:eastAsia="仿宋_GB2312" w:cs="仿宋_GB2312"/>
          <w:spacing w:val="3"/>
          <w:sz w:val="32"/>
          <w:szCs w:val="32"/>
          <w:lang w:val="en-US" w:eastAsia="zh-CN"/>
        </w:rPr>
        <w:t>26</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4</w:t>
      </w:r>
      <w:r>
        <w:rPr>
          <w:rFonts w:hint="eastAsia" w:ascii="仿宋_GB2312" w:hAnsi="仿宋_GB2312" w:eastAsia="仿宋_GB2312" w:cs="仿宋_GB2312"/>
          <w:spacing w:val="3"/>
          <w:sz w:val="32"/>
          <w:szCs w:val="32"/>
        </w:rPr>
        <w:t>号)</w:t>
      </w:r>
      <w:r>
        <w:rPr>
          <w:rFonts w:hint="eastAsia" w:ascii="仿宋_GB2312" w:hAnsi="仿宋_GB2312" w:eastAsia="仿宋_GB2312" w:cs="仿宋_GB2312"/>
          <w:spacing w:val="3"/>
          <w:sz w:val="32"/>
          <w:szCs w:val="32"/>
          <w:lang w:eastAsia="zh-CN"/>
        </w:rPr>
        <w:t>及《</w:t>
      </w:r>
      <w:r>
        <w:rPr>
          <w:rFonts w:hint="eastAsia" w:ascii="仿宋_GB2312" w:hAnsi="仿宋_GB2312" w:eastAsia="仿宋_GB2312" w:cs="仿宋_GB2312"/>
          <w:spacing w:val="3"/>
          <w:sz w:val="32"/>
          <w:szCs w:val="32"/>
          <w:lang w:val="en-US" w:eastAsia="zh-CN"/>
        </w:rPr>
        <w:t>存量建筑</w:t>
      </w:r>
      <w:r>
        <w:rPr>
          <w:rFonts w:hint="eastAsia" w:ascii="仿宋_GB2312" w:hAnsi="仿宋_GB2312" w:eastAsia="仿宋_GB2312" w:cs="仿宋_GB2312"/>
          <w:spacing w:val="3"/>
          <w:sz w:val="32"/>
          <w:szCs w:val="32"/>
          <w:lang w:eastAsia="zh-CN"/>
        </w:rPr>
        <w:t>功能</w:t>
      </w:r>
      <w:r>
        <w:rPr>
          <w:rFonts w:hint="eastAsia" w:ascii="仿宋_GB2312" w:hAnsi="仿宋_GB2312" w:eastAsia="仿宋_GB2312" w:cs="仿宋_GB2312"/>
          <w:spacing w:val="3"/>
          <w:sz w:val="32"/>
          <w:szCs w:val="32"/>
          <w:lang w:val="en-US" w:eastAsia="zh-CN"/>
        </w:rPr>
        <w:t>临时</w:t>
      </w:r>
      <w:r>
        <w:rPr>
          <w:rFonts w:hint="eastAsia" w:ascii="仿宋_GB2312" w:hAnsi="仿宋_GB2312" w:eastAsia="仿宋_GB2312" w:cs="仿宋_GB2312"/>
          <w:spacing w:val="3"/>
          <w:sz w:val="32"/>
          <w:szCs w:val="32"/>
          <w:lang w:eastAsia="zh-CN"/>
        </w:rPr>
        <w:t>转换正面清单</w:t>
      </w:r>
      <w:r>
        <w:rPr>
          <w:rFonts w:hint="eastAsia" w:ascii="仿宋_GB2312" w:hAnsi="仿宋_GB2312" w:eastAsia="仿宋_GB2312" w:cs="仿宋_GB2312"/>
          <w:spacing w:val="3"/>
          <w:sz w:val="32"/>
          <w:szCs w:val="32"/>
          <w:lang w:val="en-US" w:eastAsia="zh-CN"/>
        </w:rPr>
        <w:t>（试行）》</w:t>
      </w:r>
      <w:r>
        <w:rPr>
          <w:rFonts w:hint="eastAsia" w:ascii="仿宋_GB2312" w:hAnsi="仿宋_GB2312" w:eastAsia="仿宋_GB2312" w:cs="仿宋_GB2312"/>
          <w:spacing w:val="3"/>
          <w:sz w:val="32"/>
          <w:szCs w:val="32"/>
          <w:lang w:eastAsia="zh-CN"/>
        </w:rPr>
        <w:t>有关规定，</w:t>
      </w:r>
      <w:r>
        <w:rPr>
          <w:rFonts w:hint="eastAsia" w:ascii="仿宋_GB2312" w:hAnsi="仿宋_GB2312" w:eastAsia="仿宋_GB2312" w:cs="仿宋_GB2312"/>
          <w:spacing w:val="3"/>
          <w:sz w:val="32"/>
          <w:szCs w:val="32"/>
          <w:lang w:val="en-US" w:eastAsia="zh-CN"/>
        </w:rPr>
        <w:t>经审查，符合我市存量建筑功能临时转换相关要求，请凭本意见依法办理后续消防设计审查、施工图审查、消防验收备案、经营许可等手续。</w:t>
      </w:r>
    </w:p>
    <w:p w14:paraId="579A194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本意见自出具之日起</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年过渡期内有效，且转换后的建筑功能不作为不动产确权登记及拆迁补偿依据。期满后应当自行恢复原房屋用途。</w:t>
      </w:r>
    </w:p>
    <w:p w14:paraId="06D6FDA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p>
    <w:p w14:paraId="5209648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附件：现有建筑物临时改变房屋用途区位图</w:t>
      </w:r>
    </w:p>
    <w:p w14:paraId="7487476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u w:val="single"/>
          <w:lang w:val="en-US" w:eastAsia="zh-CN"/>
        </w:rPr>
      </w:pPr>
      <w:r>
        <w:rPr>
          <w:rFonts w:hint="eastAsia" w:ascii="仿宋_GB2312" w:hAnsi="仿宋_GB2312" w:eastAsia="仿宋_GB2312" w:cs="仿宋_GB2312"/>
          <w:spacing w:val="3"/>
          <w:sz w:val="32"/>
          <w:szCs w:val="32"/>
          <w:lang w:val="en-US" w:eastAsia="zh-CN"/>
        </w:rPr>
        <w:t xml:space="preserve">        </w:t>
      </w:r>
    </w:p>
    <w:p w14:paraId="332B201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firstLine="4564" w:firstLineChars="14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lang w:val="en-US" w:eastAsia="zh-CN"/>
        </w:rPr>
        <w:t>区人民政府</w:t>
      </w:r>
    </w:p>
    <w:p w14:paraId="37C3CF6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0" w:right="0" w:rightChars="0" w:firstLine="5868" w:firstLineChars="18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年   月   日</w:t>
      </w:r>
    </w:p>
    <w:p w14:paraId="1596368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黑体" w:hAnsi="黑体" w:eastAsia="黑体" w:cs="黑体"/>
          <w:b w:val="0"/>
          <w:bCs w:val="0"/>
          <w:spacing w:val="3"/>
          <w:sz w:val="32"/>
          <w:szCs w:val="32"/>
          <w:lang w:val="en-US" w:eastAsia="zh-CN"/>
        </w:rPr>
      </w:pPr>
    </w:p>
    <w:p w14:paraId="43280E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3"/>
          <w:sz w:val="32"/>
          <w:szCs w:val="32"/>
          <w:lang w:val="en-US" w:eastAsia="zh-CN"/>
        </w:rPr>
      </w:pPr>
      <w:r>
        <w:rPr>
          <w:rFonts w:hint="eastAsia" w:ascii="黑体" w:hAnsi="黑体" w:eastAsia="黑体" w:cs="黑体"/>
          <w:b w:val="0"/>
          <w:bCs w:val="0"/>
          <w:spacing w:val="3"/>
          <w:sz w:val="32"/>
          <w:szCs w:val="32"/>
          <w:lang w:val="en-US" w:eastAsia="zh-CN"/>
        </w:rPr>
        <w:t>以上审查意见仅作参考，各辖区政府可根据情况自行制定。</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EE41">
    <w:pPr>
      <w:spacing w:before="1" w:line="172" w:lineRule="auto"/>
      <w:ind w:left="379"/>
      <w:rPr>
        <w:rFonts w:ascii="Times New Roman" w:hAnsi="Times New Roman" w:eastAsia="Times New Roman" w:cs="Times New Roman"/>
        <w:sz w:val="25"/>
        <w:szCs w:val="25"/>
      </w:rPr>
    </w:pPr>
    <w:r>
      <w:rPr>
        <w:sz w:val="25"/>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F7D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43F7D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1559B">
    <w:pPr>
      <w:spacing w:before="1" w:line="172" w:lineRule="auto"/>
      <w:ind w:left="379"/>
      <w:rPr>
        <w:rFonts w:ascii="Times New Roman" w:hAnsi="Times New Roman" w:eastAsia="Times New Roman" w:cs="Times New Roman"/>
        <w:sz w:val="25"/>
        <w:szCs w:val="25"/>
      </w:rPr>
    </w:pPr>
    <w:r>
      <w:rPr>
        <w:sz w:val="25"/>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99AE0">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AA99AE0">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B3B44">
    <w:pPr>
      <w:spacing w:line="232" w:lineRule="auto"/>
      <w:rPr>
        <w:rFonts w:ascii="宋体" w:hAnsi="宋体" w:eastAsia="宋体" w:cs="宋体"/>
        <w:sz w:val="26"/>
        <w:szCs w:val="26"/>
      </w:rPr>
    </w:pPr>
    <w:r>
      <w:rPr>
        <w:sz w:val="26"/>
        <w:lang w:eastAsia="zh-CN"/>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76200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B9D34">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65.25pt;margin-top:6pt;height:144pt;width:144pt;mso-position-horizontal-relative:margin;mso-wrap-style:none;z-index:251659264;mso-width-relative:page;mso-height-relative:page;" filled="f" stroked="f" coordsize="21600,21600" o:gfxdata="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c/7pE1gAAAAs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9EB9D34">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7188D">
    <w:pPr>
      <w:spacing w:before="84" w:line="224" w:lineRule="auto"/>
      <w:rPr>
        <w:rFonts w:ascii="黑体" w:hAnsi="黑体" w:eastAsia="黑体" w:cs="黑体"/>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A4095"/>
    <w:multiLevelType w:val="singleLevel"/>
    <w:tmpl w:val="A27A4095"/>
    <w:lvl w:ilvl="0" w:tentative="0">
      <w:start w:val="1"/>
      <w:numFmt w:val="decimal"/>
      <w:suff w:val="nothing"/>
      <w:lvlText w:val="%1．"/>
      <w:lvlJc w:val="left"/>
      <w:pPr>
        <w:ind w:left="0" w:firstLine="400"/>
      </w:pPr>
      <w:rPr>
        <w:rFonts w:hint="default"/>
      </w:rPr>
    </w:lvl>
  </w:abstractNum>
  <w:abstractNum w:abstractNumId="1">
    <w:nsid w:val="C2A6F7E3"/>
    <w:multiLevelType w:val="singleLevel"/>
    <w:tmpl w:val="C2A6F7E3"/>
    <w:lvl w:ilvl="0" w:tentative="0">
      <w:start w:val="1"/>
      <w:numFmt w:val="chineseCounting"/>
      <w:suff w:val="nothing"/>
      <w:lvlText w:val="（%1）"/>
      <w:lvlJc w:val="left"/>
      <w:pPr>
        <w:ind w:left="0" w:firstLine="420"/>
      </w:pPr>
      <w:rPr>
        <w:rFonts w:hint="eastAsia"/>
      </w:rPr>
    </w:lvl>
  </w:abstractNum>
  <w:abstractNum w:abstractNumId="2">
    <w:nsid w:val="D4DFD155"/>
    <w:multiLevelType w:val="singleLevel"/>
    <w:tmpl w:val="D4DFD155"/>
    <w:lvl w:ilvl="0" w:tentative="0">
      <w:start w:val="1"/>
      <w:numFmt w:val="chineseCounting"/>
      <w:suff w:val="nothing"/>
      <w:lvlText w:val="%1、"/>
      <w:lvlJc w:val="left"/>
      <w:rPr>
        <w:rFonts w:hint="eastAsia"/>
      </w:rPr>
    </w:lvl>
  </w:abstractNum>
  <w:abstractNum w:abstractNumId="3">
    <w:nsid w:val="473E0257"/>
    <w:multiLevelType w:val="singleLevel"/>
    <w:tmpl w:val="473E0257"/>
    <w:lvl w:ilvl="0" w:tentative="0">
      <w:start w:val="1"/>
      <w:numFmt w:val="chineseCounting"/>
      <w:suff w:val="nothing"/>
      <w:lvlText w:val="（%1）"/>
      <w:lvlJc w:val="left"/>
      <w:pPr>
        <w:ind w:left="0" w:firstLine="420"/>
      </w:pPr>
      <w:rPr>
        <w:rFonts w:hint="eastAsia"/>
      </w:rPr>
    </w:lvl>
  </w:abstractNum>
  <w:abstractNum w:abstractNumId="4">
    <w:nsid w:val="4A129019"/>
    <w:multiLevelType w:val="singleLevel"/>
    <w:tmpl w:val="4A129019"/>
    <w:lvl w:ilvl="0" w:tentative="0">
      <w:start w:val="1"/>
      <w:numFmt w:val="decimal"/>
      <w:suff w:val="nothing"/>
      <w:lvlText w:val="%1．"/>
      <w:lvlJc w:val="left"/>
      <w:pPr>
        <w:ind w:left="0" w:firstLine="400"/>
      </w:pPr>
      <w:rPr>
        <w:rFonts w:hint="default"/>
      </w:rPr>
    </w:lvl>
  </w:abstractNum>
  <w:abstractNum w:abstractNumId="5">
    <w:nsid w:val="5CC4189A"/>
    <w:multiLevelType w:val="singleLevel"/>
    <w:tmpl w:val="5CC4189A"/>
    <w:lvl w:ilvl="0" w:tentative="0">
      <w:start w:val="1"/>
      <w:numFmt w:val="chineseCounting"/>
      <w:suff w:val="nothing"/>
      <w:lvlText w:val="（%1）"/>
      <w:lvlJc w:val="left"/>
      <w:pPr>
        <w:ind w:left="0" w:firstLine="420"/>
      </w:pPr>
      <w:rPr>
        <w:rFonts w:hint="eastAsia"/>
      </w:rPr>
    </w:lvl>
  </w:abstractNum>
  <w:abstractNum w:abstractNumId="6">
    <w:nsid w:val="6172E313"/>
    <w:multiLevelType w:val="singleLevel"/>
    <w:tmpl w:val="6172E313"/>
    <w:lvl w:ilvl="0" w:tentative="0">
      <w:start w:val="1"/>
      <w:numFmt w:val="chineseCounting"/>
      <w:suff w:val="nothing"/>
      <w:lvlText w:val="（%1）"/>
      <w:lvlJc w:val="left"/>
      <w:pPr>
        <w:ind w:left="0" w:firstLine="420"/>
      </w:pPr>
      <w:rPr>
        <w:rFonts w:hint="eastAsia"/>
      </w:rPr>
    </w:lvl>
  </w:abstractNum>
  <w:num w:numId="1">
    <w:abstractNumId w:val="2"/>
  </w:num>
  <w:num w:numId="2">
    <w:abstractNumId w:val="3"/>
  </w:num>
  <w:num w:numId="3">
    <w:abstractNumId w:val="5"/>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6440E9"/>
    <w:rsid w:val="001A03FB"/>
    <w:rsid w:val="007F6012"/>
    <w:rsid w:val="00834D33"/>
    <w:rsid w:val="008760ED"/>
    <w:rsid w:val="008D25B3"/>
    <w:rsid w:val="00954541"/>
    <w:rsid w:val="00CB5221"/>
    <w:rsid w:val="00D019E4"/>
    <w:rsid w:val="00E638BC"/>
    <w:rsid w:val="015B73CA"/>
    <w:rsid w:val="01C70C78"/>
    <w:rsid w:val="022F3C39"/>
    <w:rsid w:val="025C6FF6"/>
    <w:rsid w:val="027A5680"/>
    <w:rsid w:val="02A35163"/>
    <w:rsid w:val="02AE74B2"/>
    <w:rsid w:val="03265180"/>
    <w:rsid w:val="032D1844"/>
    <w:rsid w:val="04223866"/>
    <w:rsid w:val="05993F88"/>
    <w:rsid w:val="059A1DEC"/>
    <w:rsid w:val="05D80EA0"/>
    <w:rsid w:val="06F82B7E"/>
    <w:rsid w:val="07454F1D"/>
    <w:rsid w:val="0793709D"/>
    <w:rsid w:val="085A06A2"/>
    <w:rsid w:val="089A76C1"/>
    <w:rsid w:val="09167FE4"/>
    <w:rsid w:val="09A301DE"/>
    <w:rsid w:val="09D867D9"/>
    <w:rsid w:val="0ABF1C30"/>
    <w:rsid w:val="0AE962F7"/>
    <w:rsid w:val="0B9C5143"/>
    <w:rsid w:val="0BAF723B"/>
    <w:rsid w:val="0BE009FD"/>
    <w:rsid w:val="0C2B4087"/>
    <w:rsid w:val="0C474332"/>
    <w:rsid w:val="0C663265"/>
    <w:rsid w:val="0D4C77C3"/>
    <w:rsid w:val="0E4B437F"/>
    <w:rsid w:val="0E744D0F"/>
    <w:rsid w:val="0F4E6E17"/>
    <w:rsid w:val="0F62698F"/>
    <w:rsid w:val="0FB2044E"/>
    <w:rsid w:val="11747B05"/>
    <w:rsid w:val="119A02EF"/>
    <w:rsid w:val="125C6E10"/>
    <w:rsid w:val="13951614"/>
    <w:rsid w:val="13CE328A"/>
    <w:rsid w:val="16B0208F"/>
    <w:rsid w:val="170532D4"/>
    <w:rsid w:val="17615F65"/>
    <w:rsid w:val="18516180"/>
    <w:rsid w:val="18E94977"/>
    <w:rsid w:val="19042D9A"/>
    <w:rsid w:val="190C26CE"/>
    <w:rsid w:val="19323872"/>
    <w:rsid w:val="19ED712C"/>
    <w:rsid w:val="1A0D104E"/>
    <w:rsid w:val="1ACC2385"/>
    <w:rsid w:val="1B004E88"/>
    <w:rsid w:val="1B29652A"/>
    <w:rsid w:val="1BBA678A"/>
    <w:rsid w:val="1CBD1673"/>
    <w:rsid w:val="1D5B3953"/>
    <w:rsid w:val="1E973E83"/>
    <w:rsid w:val="1EAD1FE0"/>
    <w:rsid w:val="1F211546"/>
    <w:rsid w:val="1F414D6D"/>
    <w:rsid w:val="20B011B4"/>
    <w:rsid w:val="2132760F"/>
    <w:rsid w:val="238C519F"/>
    <w:rsid w:val="25932D6C"/>
    <w:rsid w:val="25C91C6F"/>
    <w:rsid w:val="26CD4076"/>
    <w:rsid w:val="28245690"/>
    <w:rsid w:val="28367001"/>
    <w:rsid w:val="28964B6B"/>
    <w:rsid w:val="297A3BDE"/>
    <w:rsid w:val="2C683D6A"/>
    <w:rsid w:val="2E6028FB"/>
    <w:rsid w:val="2F483808"/>
    <w:rsid w:val="2F613785"/>
    <w:rsid w:val="30292A4A"/>
    <w:rsid w:val="32537D9E"/>
    <w:rsid w:val="32906977"/>
    <w:rsid w:val="32C5265C"/>
    <w:rsid w:val="33091FFC"/>
    <w:rsid w:val="330F7E80"/>
    <w:rsid w:val="33605E6C"/>
    <w:rsid w:val="33897E1B"/>
    <w:rsid w:val="33A53EC8"/>
    <w:rsid w:val="33D25C91"/>
    <w:rsid w:val="348A3241"/>
    <w:rsid w:val="36397704"/>
    <w:rsid w:val="36D24776"/>
    <w:rsid w:val="385357F5"/>
    <w:rsid w:val="385D1519"/>
    <w:rsid w:val="38725328"/>
    <w:rsid w:val="399B64E5"/>
    <w:rsid w:val="3A2A75FA"/>
    <w:rsid w:val="3A534E77"/>
    <w:rsid w:val="3A795477"/>
    <w:rsid w:val="3AD1632B"/>
    <w:rsid w:val="3AD72798"/>
    <w:rsid w:val="3BE376CF"/>
    <w:rsid w:val="3C224F86"/>
    <w:rsid w:val="3CCF30D1"/>
    <w:rsid w:val="3D5760BF"/>
    <w:rsid w:val="3E3245B2"/>
    <w:rsid w:val="3F45735D"/>
    <w:rsid w:val="3FA10E42"/>
    <w:rsid w:val="40A80797"/>
    <w:rsid w:val="40B958F3"/>
    <w:rsid w:val="40E51BFB"/>
    <w:rsid w:val="41EC765E"/>
    <w:rsid w:val="41FD42B2"/>
    <w:rsid w:val="427529B3"/>
    <w:rsid w:val="42800830"/>
    <w:rsid w:val="44AE3AF4"/>
    <w:rsid w:val="44CF0AE2"/>
    <w:rsid w:val="45AF4CBF"/>
    <w:rsid w:val="45E561F9"/>
    <w:rsid w:val="486019D3"/>
    <w:rsid w:val="48A8019B"/>
    <w:rsid w:val="48D37E29"/>
    <w:rsid w:val="490A40C4"/>
    <w:rsid w:val="4A614797"/>
    <w:rsid w:val="4AC56FBA"/>
    <w:rsid w:val="4BAC5DBB"/>
    <w:rsid w:val="4BC13F6B"/>
    <w:rsid w:val="4CFC1B5C"/>
    <w:rsid w:val="4D743C02"/>
    <w:rsid w:val="4F363256"/>
    <w:rsid w:val="4FAF4D0B"/>
    <w:rsid w:val="517269B9"/>
    <w:rsid w:val="522F6D9E"/>
    <w:rsid w:val="546440E9"/>
    <w:rsid w:val="55352365"/>
    <w:rsid w:val="5730129E"/>
    <w:rsid w:val="584410E0"/>
    <w:rsid w:val="591901B6"/>
    <w:rsid w:val="5A722EBF"/>
    <w:rsid w:val="5AA74954"/>
    <w:rsid w:val="5B160B7D"/>
    <w:rsid w:val="5B867F38"/>
    <w:rsid w:val="5C972C45"/>
    <w:rsid w:val="5D7C5B5E"/>
    <w:rsid w:val="5E411A7A"/>
    <w:rsid w:val="5EEA1917"/>
    <w:rsid w:val="6051650D"/>
    <w:rsid w:val="60613C10"/>
    <w:rsid w:val="609E371C"/>
    <w:rsid w:val="61526BF3"/>
    <w:rsid w:val="622B3547"/>
    <w:rsid w:val="638F37E5"/>
    <w:rsid w:val="639842BC"/>
    <w:rsid w:val="668A1765"/>
    <w:rsid w:val="67A56412"/>
    <w:rsid w:val="6B4A54A4"/>
    <w:rsid w:val="6C61455E"/>
    <w:rsid w:val="6EC80869"/>
    <w:rsid w:val="6F38459B"/>
    <w:rsid w:val="6FEA15AC"/>
    <w:rsid w:val="71205DA5"/>
    <w:rsid w:val="71C7758E"/>
    <w:rsid w:val="71FC6A0D"/>
    <w:rsid w:val="720E5A2E"/>
    <w:rsid w:val="728472A8"/>
    <w:rsid w:val="72866FEF"/>
    <w:rsid w:val="74087E3E"/>
    <w:rsid w:val="742167B5"/>
    <w:rsid w:val="74BB4393"/>
    <w:rsid w:val="74CC64D3"/>
    <w:rsid w:val="74D50671"/>
    <w:rsid w:val="75A71A11"/>
    <w:rsid w:val="760B1736"/>
    <w:rsid w:val="76264037"/>
    <w:rsid w:val="76432EAA"/>
    <w:rsid w:val="772A6BE1"/>
    <w:rsid w:val="77453A3C"/>
    <w:rsid w:val="77597C96"/>
    <w:rsid w:val="77AB163D"/>
    <w:rsid w:val="77F83B2D"/>
    <w:rsid w:val="783B2B02"/>
    <w:rsid w:val="786713BA"/>
    <w:rsid w:val="78DD3D89"/>
    <w:rsid w:val="798C6C89"/>
    <w:rsid w:val="79BA0EF3"/>
    <w:rsid w:val="7A0052E9"/>
    <w:rsid w:val="7A1B04E8"/>
    <w:rsid w:val="7AA73B37"/>
    <w:rsid w:val="7AAD1CFF"/>
    <w:rsid w:val="7BA342E6"/>
    <w:rsid w:val="7BAF1AB2"/>
    <w:rsid w:val="7CAA0FA5"/>
    <w:rsid w:val="7DBF115D"/>
    <w:rsid w:val="7E35156A"/>
    <w:rsid w:val="7F541580"/>
    <w:rsid w:val="7F6E1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882</Words>
  <Characters>894</Characters>
  <Lines>10</Lines>
  <Paragraphs>2</Paragraphs>
  <TotalTime>22</TotalTime>
  <ScaleCrop>false</ScaleCrop>
  <LinksUpToDate>false</LinksUpToDate>
  <CharactersWithSpaces>901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2026-07-07T09:08:00Z</dcterms:created>
  <dc:creator>Administrator</dc:creator>
  <cp:lastModifiedBy>仇家太多不方便显示真名</cp:lastModifiedBy>
  <cp:lastPrinted>2026-08-25T09:42:00Z</cp:lastPrinted>
  <dcterms:modified xsi:type="dcterms:W3CDTF">2026-09-10T00:54:18Z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F7583F4791194DE3BC9B090F53D53E87_13</vt:lpwstr>
  </property>
  <property fmtid="{D5CDD505-2E9C-101B-9397-08002B2CF9AE}" pid="4" name="KSOTemplateDocerSaveRecord">
    <vt:lpwstr>eyJoZGlkIjoiYmQ3NjVlOGMyZGMwNmIyOTI1NDcwZDhmNzA5ZDM2OTIiLCJ1c2VySWQiOiI0Mzk2NDEzNjYifQ==</vt:lpwstr>
  </property>
</Properties>
</file>